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3BF" w:rsidRPr="007663BF" w:rsidRDefault="007663BF" w:rsidP="007663BF">
      <w:r w:rsidRPr="007663BF">
        <w:t xml:space="preserve">            The author starts</w:t>
      </w:r>
      <w:bookmarkStart w:id="0" w:name="_GoBack"/>
      <w:bookmarkEnd w:id="0"/>
      <w:r w:rsidRPr="007663BF">
        <w:t xml:space="preserve"> by connecting pneumatology and ecclesiology. The author states that according to him, the main catalyst for ecclesiological renaissance has been the ecumenical movement. There is no other movement in the history of the Christian church (with the exception of Reformation) has shaped the thinking of Christendom as much as the modern movement for Christian unity (pg.8). The author also describes the emergence of ecclesiology as a separate locus in theology. Ecclesiology was not a separate locus either in the early church or in the middle Ages (pg.10). The systematic outline included subjects such as creation, the Trinitarian God and reconciliation in Christ and the sacraments. The author also touches on the aspect of salvation, whether it is individualistic or communal. The difference between Protestantism and Catholicism is that the former makes relation of individuals to the church dependent on their relation to Christ while the latter makes the relation of individuals to Christ dependent on their relation to the church. </w:t>
      </w:r>
    </w:p>
    <w:p w:rsidR="00F36C82" w:rsidRDefault="007663BF"/>
    <w:sectPr w:rsidR="00F36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0MzQwNTWxtDAyMLRQ0lEKTi0uzszPAykwrAUAUveSZywAAAA="/>
  </w:docVars>
  <w:rsids>
    <w:rsidRoot w:val="007663BF"/>
    <w:rsid w:val="005F06AB"/>
    <w:rsid w:val="007663BF"/>
    <w:rsid w:val="00D5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8E8FC-92CD-4D76-91CD-C4557242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cp:revision>
  <dcterms:created xsi:type="dcterms:W3CDTF">2019-02-06T21:10:00Z</dcterms:created>
  <dcterms:modified xsi:type="dcterms:W3CDTF">2019-02-06T21:11:00Z</dcterms:modified>
</cp:coreProperties>
</file>